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A3" w:rsidRDefault="009A70A3" w:rsidP="009A70A3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9A70A3" w:rsidRDefault="009A70A3" w:rsidP="009A70A3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9A70A3" w:rsidRPr="00066E00" w:rsidRDefault="009A70A3" w:rsidP="009A70A3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066E00">
        <w:rPr>
          <w:rFonts w:ascii="Book Antiqua" w:hAnsi="Book Antiqua"/>
          <w:sz w:val="28"/>
          <w:szCs w:val="28"/>
          <w:u w:val="single"/>
        </w:rPr>
        <w:t>SASTANAK</w:t>
      </w:r>
      <w:r>
        <w:rPr>
          <w:rFonts w:ascii="Book Antiqua" w:hAnsi="Book Antiqua"/>
          <w:sz w:val="28"/>
          <w:szCs w:val="28"/>
          <w:u w:val="single"/>
        </w:rPr>
        <w:t xml:space="preserve"> PREDSJEDNIKA UDRUGA </w:t>
      </w:r>
      <w:r w:rsidRPr="00066E00">
        <w:rPr>
          <w:rFonts w:ascii="Book Antiqua" w:hAnsi="Book Antiqua"/>
          <w:sz w:val="28"/>
          <w:szCs w:val="28"/>
          <w:u w:val="single"/>
        </w:rPr>
        <w:t>S PREDSTAVNICIMA</w:t>
      </w:r>
    </w:p>
    <w:p w:rsidR="009A70A3" w:rsidRDefault="009A70A3" w:rsidP="009A70A3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066E00">
        <w:rPr>
          <w:rFonts w:ascii="Book Antiqua" w:hAnsi="Book Antiqua"/>
          <w:sz w:val="28"/>
          <w:szCs w:val="28"/>
          <w:u w:val="single"/>
        </w:rPr>
        <w:t>MINISTARSTVA ZNANOSTI I OBRAZOVANJA</w:t>
      </w:r>
    </w:p>
    <w:p w:rsidR="009A70A3" w:rsidRDefault="009A70A3" w:rsidP="009A70A3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9A70A3" w:rsidRDefault="009A70A3" w:rsidP="009A70A3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9A70A3" w:rsidRPr="00C25818" w:rsidRDefault="009A70A3" w:rsidP="009A70A3">
      <w:pPr>
        <w:ind w:firstLine="708"/>
        <w:jc w:val="both"/>
        <w:rPr>
          <w:rFonts w:ascii="Book Antiqua" w:hAnsi="Book Antiqua"/>
          <w:sz w:val="22"/>
          <w:szCs w:val="22"/>
        </w:rPr>
      </w:pPr>
      <w:r w:rsidRPr="00C25818">
        <w:rPr>
          <w:rFonts w:ascii="Book Antiqua" w:hAnsi="Book Antiqua"/>
          <w:sz w:val="22"/>
          <w:szCs w:val="22"/>
        </w:rPr>
        <w:t>Dana 29. studenog 2017. godine održan sastanak u Ministarstvu znanosti i obrazovanja predsjednice Udruge hrvatskih srednjoškolskih ravnatelja gđe Suzane Hitrec i predsjednika Hrvatske udruge ravnatelja osnovnih škola gosp. Nikice Mihaljevića s Ministricom gđom Blaženkom Divjak, državnim tajnikom gosp. Hrvojem Šlezakom i pomoćnikom ministrice gosp. Vladom Prskalom.</w:t>
      </w:r>
    </w:p>
    <w:p w:rsidR="009A70A3" w:rsidRDefault="009A70A3" w:rsidP="009A70A3">
      <w:pPr>
        <w:ind w:firstLine="708"/>
        <w:rPr>
          <w:rFonts w:ascii="Book Antiqua" w:hAnsi="Book Antiqua"/>
        </w:rPr>
      </w:pPr>
    </w:p>
    <w:p w:rsidR="009A70A3" w:rsidRPr="00066E00" w:rsidRDefault="009A70A3" w:rsidP="009A70A3">
      <w:pPr>
        <w:rPr>
          <w:rFonts w:ascii="Book Antiqua" w:hAnsi="Book Antiqua"/>
          <w:sz w:val="28"/>
          <w:szCs w:val="28"/>
          <w:u w:val="single"/>
        </w:rPr>
      </w:pPr>
    </w:p>
    <w:p w:rsidR="009A70A3" w:rsidRDefault="009A70A3" w:rsidP="009A70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>
        <w:rPr>
          <w:noProof/>
          <w:lang w:val="hr-HR" w:eastAsia="hr-HR"/>
        </w:rPr>
        <w:drawing>
          <wp:inline distT="0" distB="0" distL="0" distR="0" wp14:anchorId="6F8601BF" wp14:editId="02FDEBBC">
            <wp:extent cx="5285942" cy="4217622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55" cy="423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A3" w:rsidRDefault="009A70A3" w:rsidP="009A70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>
        <w:rPr>
          <w:rFonts w:ascii="Times" w:hAnsi="Times" w:cs="Times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93BC6" wp14:editId="2E8708C7">
                <wp:simplePos x="0" y="0"/>
                <wp:positionH relativeFrom="column">
                  <wp:posOffset>-74930</wp:posOffset>
                </wp:positionH>
                <wp:positionV relativeFrom="paragraph">
                  <wp:posOffset>59055</wp:posOffset>
                </wp:positionV>
                <wp:extent cx="273050" cy="4381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0A3" w:rsidRPr="008D528E" w:rsidRDefault="009A70A3" w:rsidP="009A70A3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93B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9pt;margin-top:4.65pt;width:21.5pt;height:3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" stroked="f">
                <v:textbox>
                  <w:txbxContent>
                    <w:p w:rsidR="009A70A3" w:rsidRPr="008D528E" w:rsidRDefault="009A70A3" w:rsidP="009A70A3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70A3" w:rsidRDefault="009A70A3" w:rsidP="009A70A3">
      <w:pPr>
        <w:jc w:val="center"/>
        <w:rPr>
          <w:rFonts w:ascii="Arial" w:hAnsi="Arial" w:cs="Arial"/>
          <w:b/>
          <w:sz w:val="22"/>
          <w:szCs w:val="22"/>
        </w:rPr>
      </w:pPr>
    </w:p>
    <w:p w:rsidR="009A70A3" w:rsidRDefault="009A70A3" w:rsidP="009A70A3">
      <w:pPr>
        <w:jc w:val="center"/>
        <w:rPr>
          <w:rFonts w:ascii="Arial" w:hAnsi="Arial" w:cs="Arial"/>
          <w:b/>
          <w:sz w:val="22"/>
          <w:szCs w:val="22"/>
        </w:rPr>
      </w:pPr>
    </w:p>
    <w:p w:rsidR="009A70A3" w:rsidRDefault="009A70A3" w:rsidP="009A70A3">
      <w:pPr>
        <w:jc w:val="center"/>
        <w:rPr>
          <w:rFonts w:ascii="Arial" w:hAnsi="Arial" w:cs="Arial"/>
          <w:b/>
          <w:sz w:val="22"/>
          <w:szCs w:val="22"/>
        </w:rPr>
      </w:pPr>
    </w:p>
    <w:p w:rsidR="009A70A3" w:rsidRPr="000C2BF4" w:rsidRDefault="009A70A3" w:rsidP="009A70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POD OPŠIRNIJE </w:t>
      </w:r>
      <w:r w:rsidRPr="000C2BF4">
        <w:rPr>
          <w:rFonts w:ascii="Arial" w:hAnsi="Arial" w:cs="Arial"/>
          <w:b/>
          <w:sz w:val="28"/>
          <w:szCs w:val="28"/>
        </w:rPr>
        <w:t>BILJEŠKA</w:t>
      </w:r>
    </w:p>
    <w:p w:rsidR="009A70A3" w:rsidRPr="00BC70AE" w:rsidRDefault="009A70A3" w:rsidP="009A70A3">
      <w:pPr>
        <w:rPr>
          <w:rFonts w:ascii="Arial" w:hAnsi="Arial" w:cs="Arial"/>
          <w:sz w:val="22"/>
          <w:szCs w:val="22"/>
        </w:rPr>
      </w:pPr>
    </w:p>
    <w:p w:rsidR="009A70A3" w:rsidRPr="00BC70AE" w:rsidRDefault="009A70A3" w:rsidP="009A70A3">
      <w:pPr>
        <w:jc w:val="center"/>
        <w:rPr>
          <w:rFonts w:ascii="Arial" w:hAnsi="Arial" w:cs="Arial"/>
          <w:b/>
          <w:sz w:val="22"/>
          <w:szCs w:val="22"/>
        </w:rPr>
      </w:pPr>
      <w:r w:rsidRPr="00BC70AE">
        <w:rPr>
          <w:rFonts w:ascii="Arial" w:hAnsi="Arial" w:cs="Arial"/>
          <w:b/>
          <w:sz w:val="22"/>
          <w:szCs w:val="22"/>
        </w:rPr>
        <w:t>sa sastanka Ministrice i predstavnika Ministarstva znanosti i obrazovanja i predsjednika udruga ravnatelja održanog 29. studenog 2017. godine u 13 sati u Ministarstvu znanosti i obrazovanja.</w:t>
      </w:r>
    </w:p>
    <w:p w:rsidR="009A70A3" w:rsidRPr="00BC70AE" w:rsidRDefault="009A70A3" w:rsidP="009A70A3">
      <w:pPr>
        <w:jc w:val="center"/>
        <w:rPr>
          <w:rFonts w:ascii="Arial" w:hAnsi="Arial" w:cs="Arial"/>
          <w:b/>
          <w:sz w:val="22"/>
          <w:szCs w:val="22"/>
        </w:rPr>
      </w:pPr>
    </w:p>
    <w:p w:rsidR="009A70A3" w:rsidRPr="00BC70AE" w:rsidRDefault="009A70A3" w:rsidP="009A70A3">
      <w:pPr>
        <w:rPr>
          <w:rFonts w:ascii="Arial" w:hAnsi="Arial" w:cs="Arial"/>
          <w:sz w:val="22"/>
          <w:szCs w:val="22"/>
        </w:rPr>
      </w:pPr>
      <w:r w:rsidRPr="00BC70AE">
        <w:rPr>
          <w:rFonts w:ascii="Arial" w:hAnsi="Arial" w:cs="Arial"/>
          <w:sz w:val="22"/>
          <w:szCs w:val="22"/>
        </w:rPr>
        <w:t>Sastanku su nazočili:</w:t>
      </w:r>
    </w:p>
    <w:p w:rsidR="009A70A3" w:rsidRPr="00BC70AE" w:rsidRDefault="009A70A3" w:rsidP="009A70A3">
      <w:pPr>
        <w:rPr>
          <w:rFonts w:ascii="Arial" w:hAnsi="Arial" w:cs="Arial"/>
          <w:sz w:val="22"/>
          <w:szCs w:val="22"/>
        </w:rPr>
      </w:pPr>
    </w:p>
    <w:p w:rsidR="009A70A3" w:rsidRPr="00BC70AE" w:rsidRDefault="009A70A3" w:rsidP="009A70A3">
      <w:pPr>
        <w:rPr>
          <w:rFonts w:ascii="Arial" w:hAnsi="Arial" w:cs="Arial"/>
          <w:sz w:val="22"/>
          <w:szCs w:val="22"/>
        </w:rPr>
      </w:pPr>
      <w:r w:rsidRPr="00BC70AE">
        <w:rPr>
          <w:rFonts w:ascii="Arial" w:hAnsi="Arial" w:cs="Arial"/>
          <w:sz w:val="22"/>
          <w:szCs w:val="22"/>
        </w:rPr>
        <w:t xml:space="preserve">Predstavnici Ministarstva znanosti </w:t>
      </w:r>
      <w:r>
        <w:rPr>
          <w:rFonts w:ascii="Arial" w:hAnsi="Arial" w:cs="Arial"/>
          <w:sz w:val="22"/>
          <w:szCs w:val="22"/>
        </w:rPr>
        <w:t>i</w:t>
      </w:r>
      <w:r w:rsidRPr="00BC70AE">
        <w:rPr>
          <w:rFonts w:ascii="Arial" w:hAnsi="Arial" w:cs="Arial"/>
          <w:sz w:val="22"/>
          <w:szCs w:val="22"/>
        </w:rPr>
        <w:t xml:space="preserve"> obrazovanja: </w:t>
      </w:r>
    </w:p>
    <w:p w:rsidR="009A70A3" w:rsidRPr="00BC70AE" w:rsidRDefault="009A70A3" w:rsidP="009A70A3">
      <w:pPr>
        <w:rPr>
          <w:rFonts w:ascii="Arial" w:hAnsi="Arial" w:cs="Arial"/>
          <w:sz w:val="22"/>
          <w:szCs w:val="22"/>
        </w:rPr>
      </w:pPr>
      <w:r w:rsidRPr="00BC70AE">
        <w:rPr>
          <w:rFonts w:ascii="Arial" w:hAnsi="Arial" w:cs="Arial"/>
          <w:bCs/>
          <w:sz w:val="22"/>
          <w:szCs w:val="22"/>
        </w:rPr>
        <w:t>Prof. dr. sc. Blaženka Divjak</w:t>
      </w:r>
      <w:r w:rsidRPr="00BC70AE">
        <w:rPr>
          <w:rFonts w:ascii="Arial" w:hAnsi="Arial" w:cs="Arial"/>
          <w:sz w:val="22"/>
          <w:szCs w:val="22"/>
        </w:rPr>
        <w:t>, ministrica</w:t>
      </w:r>
    </w:p>
    <w:p w:rsidR="009A70A3" w:rsidRPr="00BC70AE" w:rsidRDefault="009A70A3" w:rsidP="009A70A3">
      <w:pPr>
        <w:rPr>
          <w:rFonts w:ascii="Arial" w:hAnsi="Arial" w:cs="Arial"/>
          <w:sz w:val="22"/>
          <w:szCs w:val="22"/>
        </w:rPr>
      </w:pPr>
      <w:r w:rsidRPr="00BC70AE">
        <w:rPr>
          <w:rFonts w:ascii="Arial" w:hAnsi="Arial" w:cs="Arial"/>
          <w:sz w:val="22"/>
          <w:szCs w:val="22"/>
        </w:rPr>
        <w:t>Hrvoje Šlezak, državni tajnik</w:t>
      </w:r>
    </w:p>
    <w:p w:rsidR="009A70A3" w:rsidRPr="00BC70AE" w:rsidRDefault="009A70A3" w:rsidP="009A70A3">
      <w:pPr>
        <w:rPr>
          <w:rFonts w:ascii="Arial" w:hAnsi="Arial" w:cs="Arial"/>
          <w:sz w:val="22"/>
          <w:szCs w:val="22"/>
        </w:rPr>
      </w:pPr>
      <w:r w:rsidRPr="00BC70AE">
        <w:rPr>
          <w:rFonts w:ascii="Arial" w:hAnsi="Arial" w:cs="Arial"/>
          <w:sz w:val="22"/>
          <w:szCs w:val="22"/>
        </w:rPr>
        <w:t>Vlado Prskalo, pomoćnik ministrice</w:t>
      </w:r>
    </w:p>
    <w:p w:rsidR="009A70A3" w:rsidRPr="00BC70AE" w:rsidRDefault="009A70A3" w:rsidP="009A70A3">
      <w:pPr>
        <w:rPr>
          <w:rFonts w:ascii="Arial" w:hAnsi="Arial" w:cs="Arial"/>
          <w:bCs/>
          <w:sz w:val="22"/>
          <w:szCs w:val="22"/>
        </w:rPr>
      </w:pPr>
    </w:p>
    <w:p w:rsidR="009A70A3" w:rsidRPr="00BC70AE" w:rsidRDefault="009A70A3" w:rsidP="009A70A3">
      <w:pPr>
        <w:rPr>
          <w:rFonts w:ascii="Arial" w:hAnsi="Arial" w:cs="Arial"/>
          <w:bCs/>
          <w:sz w:val="22"/>
          <w:szCs w:val="22"/>
        </w:rPr>
      </w:pPr>
      <w:r w:rsidRPr="00BC70AE">
        <w:rPr>
          <w:rFonts w:ascii="Arial" w:hAnsi="Arial" w:cs="Arial"/>
          <w:bCs/>
          <w:sz w:val="22"/>
          <w:szCs w:val="22"/>
        </w:rPr>
        <w:t xml:space="preserve">Predsjednica Udruge hrvatskih srednjoškolskih ravnatelja: Suzana Hitrec </w:t>
      </w:r>
    </w:p>
    <w:p w:rsidR="009A70A3" w:rsidRPr="00BC70AE" w:rsidRDefault="009A70A3" w:rsidP="009A70A3">
      <w:pPr>
        <w:rPr>
          <w:rFonts w:ascii="Arial" w:hAnsi="Arial" w:cs="Arial"/>
          <w:bCs/>
          <w:sz w:val="22"/>
          <w:szCs w:val="22"/>
        </w:rPr>
      </w:pPr>
      <w:r w:rsidRPr="00BC70AE">
        <w:rPr>
          <w:rFonts w:ascii="Arial" w:hAnsi="Arial" w:cs="Arial"/>
          <w:bCs/>
          <w:sz w:val="22"/>
          <w:szCs w:val="22"/>
        </w:rPr>
        <w:t>Predsjednik Hrvatske udruge ravnatelja osnovnih škola: Nikica Mihaljević</w:t>
      </w:r>
    </w:p>
    <w:p w:rsidR="009A70A3" w:rsidRPr="00BC70AE" w:rsidRDefault="009A70A3" w:rsidP="009A70A3">
      <w:pPr>
        <w:rPr>
          <w:rFonts w:ascii="Arial" w:hAnsi="Arial" w:cs="Arial"/>
          <w:bCs/>
          <w:sz w:val="22"/>
          <w:szCs w:val="22"/>
        </w:rPr>
      </w:pPr>
    </w:p>
    <w:p w:rsidR="009A70A3" w:rsidRPr="00BC70AE" w:rsidRDefault="009A70A3" w:rsidP="009A70A3">
      <w:pPr>
        <w:jc w:val="both"/>
        <w:rPr>
          <w:rFonts w:ascii="Arial" w:hAnsi="Arial" w:cs="Arial"/>
          <w:bCs/>
          <w:sz w:val="22"/>
          <w:szCs w:val="22"/>
        </w:rPr>
      </w:pPr>
      <w:r w:rsidRPr="00BC70AE">
        <w:rPr>
          <w:rFonts w:ascii="Arial" w:hAnsi="Arial" w:cs="Arial"/>
          <w:bCs/>
          <w:sz w:val="22"/>
          <w:szCs w:val="22"/>
        </w:rPr>
        <w:t>Predsjednicima udruga ravnatelja omogućen je sastanak s Ministricom i suradnicima vezano uz  aktualne izmjene i dopune Zakona o odgoju i obrazovanju u osnovnoj i srednjoj školi te uz planirane aktivnosti i ciljeve koje provodi Ministarstvo i škole.</w:t>
      </w:r>
    </w:p>
    <w:p w:rsidR="009A70A3" w:rsidRPr="00BC70AE" w:rsidRDefault="009A70A3" w:rsidP="009A70A3">
      <w:pPr>
        <w:jc w:val="both"/>
        <w:rPr>
          <w:rFonts w:ascii="Arial" w:hAnsi="Arial" w:cs="Arial"/>
          <w:bCs/>
          <w:sz w:val="22"/>
          <w:szCs w:val="22"/>
        </w:rPr>
      </w:pPr>
      <w:r w:rsidRPr="00BC70AE">
        <w:rPr>
          <w:rFonts w:ascii="Arial" w:hAnsi="Arial" w:cs="Arial"/>
          <w:bCs/>
          <w:sz w:val="22"/>
          <w:szCs w:val="22"/>
        </w:rPr>
        <w:t>Predsjednici ravnateljskih udruga istaknuli su kao veliki problem nepovoljni radni status ravnatelja, kriterije izbora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BC70AE">
        <w:rPr>
          <w:rFonts w:ascii="Arial" w:hAnsi="Arial" w:cs="Arial"/>
          <w:bCs/>
          <w:sz w:val="22"/>
          <w:szCs w:val="22"/>
        </w:rPr>
        <w:t xml:space="preserve"> reizbora kao i  neprimjerene kriterije za koeficijent za plaću ravnatelja </w:t>
      </w:r>
      <w:r>
        <w:rPr>
          <w:rFonts w:ascii="Arial" w:hAnsi="Arial" w:cs="Arial"/>
          <w:bCs/>
          <w:sz w:val="22"/>
          <w:szCs w:val="22"/>
        </w:rPr>
        <w:t xml:space="preserve">koje su prije nekoliko godina smanjene </w:t>
      </w:r>
      <w:r w:rsidRPr="00BC70AE">
        <w:rPr>
          <w:rFonts w:ascii="Arial" w:hAnsi="Arial" w:cs="Arial"/>
          <w:bCs/>
          <w:sz w:val="22"/>
          <w:szCs w:val="22"/>
        </w:rPr>
        <w:t>te nedostatak pomoćnika ravnatelja</w:t>
      </w:r>
      <w:r>
        <w:rPr>
          <w:rFonts w:ascii="Arial" w:hAnsi="Arial" w:cs="Arial"/>
          <w:bCs/>
          <w:sz w:val="22"/>
          <w:szCs w:val="22"/>
        </w:rPr>
        <w:t xml:space="preserve"> koje imaju sve zemlje u okruženju, </w:t>
      </w:r>
      <w:r w:rsidRPr="00BC70AE">
        <w:rPr>
          <w:rFonts w:ascii="Arial" w:hAnsi="Arial" w:cs="Arial"/>
          <w:bCs/>
          <w:sz w:val="22"/>
          <w:szCs w:val="22"/>
        </w:rPr>
        <w:t>kao i potrebu za nastavkom rada na profesionalizaciji ravnatelja.</w:t>
      </w:r>
    </w:p>
    <w:p w:rsidR="009A70A3" w:rsidRPr="00BC70AE" w:rsidRDefault="009A70A3" w:rsidP="009A70A3">
      <w:pPr>
        <w:jc w:val="both"/>
        <w:rPr>
          <w:rFonts w:ascii="Arial" w:hAnsi="Arial" w:cs="Arial"/>
          <w:bCs/>
          <w:sz w:val="22"/>
          <w:szCs w:val="22"/>
        </w:rPr>
      </w:pPr>
      <w:r w:rsidRPr="00BC70AE">
        <w:rPr>
          <w:rFonts w:ascii="Arial" w:hAnsi="Arial" w:cs="Arial"/>
          <w:bCs/>
          <w:sz w:val="22"/>
          <w:szCs w:val="22"/>
        </w:rPr>
        <w:t xml:space="preserve">Ministrica je istaknula važnost suradnje s ravnateljima, istaknula da </w:t>
      </w:r>
      <w:r>
        <w:rPr>
          <w:rFonts w:ascii="Arial" w:hAnsi="Arial" w:cs="Arial"/>
          <w:bCs/>
          <w:sz w:val="22"/>
          <w:szCs w:val="22"/>
        </w:rPr>
        <w:t xml:space="preserve">će </w:t>
      </w:r>
      <w:r w:rsidRPr="00BC70AE">
        <w:rPr>
          <w:rFonts w:ascii="Arial" w:hAnsi="Arial" w:cs="Arial"/>
          <w:bCs/>
          <w:sz w:val="22"/>
          <w:szCs w:val="22"/>
        </w:rPr>
        <w:t xml:space="preserve">se na profesionalizaciji  nastavlja </w:t>
      </w:r>
      <w:r>
        <w:rPr>
          <w:rFonts w:ascii="Arial" w:hAnsi="Arial" w:cs="Arial"/>
          <w:bCs/>
          <w:sz w:val="22"/>
          <w:szCs w:val="22"/>
        </w:rPr>
        <w:t xml:space="preserve">dalje </w:t>
      </w:r>
      <w:r w:rsidRPr="00BC70AE">
        <w:rPr>
          <w:rFonts w:ascii="Arial" w:hAnsi="Arial" w:cs="Arial"/>
          <w:bCs/>
          <w:sz w:val="22"/>
          <w:szCs w:val="22"/>
        </w:rPr>
        <w:t xml:space="preserve">raditi te da će se </w:t>
      </w:r>
      <w:r>
        <w:rPr>
          <w:rFonts w:ascii="Arial" w:hAnsi="Arial" w:cs="Arial"/>
          <w:bCs/>
          <w:sz w:val="22"/>
          <w:szCs w:val="22"/>
        </w:rPr>
        <w:t xml:space="preserve">također </w:t>
      </w:r>
      <w:r w:rsidRPr="00BC70AE">
        <w:rPr>
          <w:rFonts w:ascii="Arial" w:hAnsi="Arial" w:cs="Arial"/>
          <w:bCs/>
          <w:sz w:val="22"/>
          <w:szCs w:val="22"/>
        </w:rPr>
        <w:t>pokušati pronaći rješenja  za navedene problem koje su predsjednici udruga ravnatelja istaknuli. Osvrnula se na tijek obrazovne reforme, opremanja osnovnih škola za potrebe uvođenja Informatike, poboljšanju sustava e-matice, uspostavljanje mreže programa i škola.</w:t>
      </w:r>
    </w:p>
    <w:p w:rsidR="009A70A3" w:rsidRPr="00BC70AE" w:rsidRDefault="009A70A3" w:rsidP="009A70A3">
      <w:pPr>
        <w:jc w:val="both"/>
        <w:rPr>
          <w:rFonts w:ascii="Arial" w:hAnsi="Arial" w:cs="Arial"/>
          <w:bCs/>
          <w:sz w:val="22"/>
          <w:szCs w:val="22"/>
        </w:rPr>
      </w:pPr>
    </w:p>
    <w:p w:rsidR="009A70A3" w:rsidRPr="00BC70AE" w:rsidRDefault="009A70A3" w:rsidP="009A70A3">
      <w:pPr>
        <w:jc w:val="both"/>
        <w:rPr>
          <w:rFonts w:ascii="Arial" w:hAnsi="Arial" w:cs="Arial"/>
          <w:bCs/>
          <w:sz w:val="22"/>
          <w:szCs w:val="22"/>
        </w:rPr>
      </w:pPr>
      <w:r w:rsidRPr="00BC70AE">
        <w:rPr>
          <w:rFonts w:ascii="Arial" w:hAnsi="Arial" w:cs="Arial"/>
          <w:bCs/>
          <w:sz w:val="22"/>
          <w:szCs w:val="22"/>
        </w:rPr>
        <w:t>Tijekom rasprave  zajednički su doneseni slijedeći zaključci.</w:t>
      </w:r>
    </w:p>
    <w:p w:rsidR="009A70A3" w:rsidRPr="00BC70AE" w:rsidRDefault="009A70A3" w:rsidP="009A70A3">
      <w:pPr>
        <w:jc w:val="both"/>
        <w:rPr>
          <w:rFonts w:ascii="Arial" w:hAnsi="Arial" w:cs="Arial"/>
          <w:bCs/>
          <w:sz w:val="22"/>
          <w:szCs w:val="22"/>
        </w:rPr>
      </w:pPr>
    </w:p>
    <w:p w:rsidR="009A70A3" w:rsidRPr="00BC70AE" w:rsidRDefault="009A70A3" w:rsidP="009A70A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C70AE">
        <w:rPr>
          <w:rFonts w:ascii="Arial" w:hAnsi="Arial" w:cs="Arial"/>
          <w:bCs/>
          <w:sz w:val="22"/>
          <w:szCs w:val="22"/>
        </w:rPr>
        <w:t>Za pripremu svih važnih promjena u sustavu osnovnoškolskog i srednjoškolskog obrazovanja Ministarstvo će uključivati  u rad predstavnike udruga ravnatelja.</w:t>
      </w:r>
    </w:p>
    <w:p w:rsidR="009A70A3" w:rsidRPr="00BC70AE" w:rsidRDefault="009A70A3" w:rsidP="009A70A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C70AE">
        <w:rPr>
          <w:rFonts w:ascii="Arial" w:hAnsi="Arial" w:cs="Arial"/>
          <w:bCs/>
          <w:sz w:val="22"/>
          <w:szCs w:val="22"/>
        </w:rPr>
        <w:t>Najavljeno je da će se uskoro raspisati javni poziv za eksperimentalnu provedbu reforme te da su za te procese ravnatelji škola ključni suradnici.</w:t>
      </w:r>
    </w:p>
    <w:p w:rsidR="009A70A3" w:rsidRPr="00BC70AE" w:rsidRDefault="009A70A3" w:rsidP="009A70A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C70AE">
        <w:rPr>
          <w:rFonts w:ascii="Arial" w:hAnsi="Arial" w:cs="Arial"/>
          <w:bCs/>
          <w:sz w:val="22"/>
          <w:szCs w:val="22"/>
        </w:rPr>
        <w:t>Status ravnatelja je sada nepovoljan za ravnatelje te se treba što prije kvalitetno riješiti i definirati.</w:t>
      </w:r>
    </w:p>
    <w:p w:rsidR="009A70A3" w:rsidRPr="00BC70AE" w:rsidRDefault="009A70A3" w:rsidP="009A70A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C70AE">
        <w:rPr>
          <w:rFonts w:ascii="Arial" w:hAnsi="Arial" w:cs="Arial"/>
          <w:bCs/>
          <w:sz w:val="22"/>
          <w:szCs w:val="22"/>
        </w:rPr>
        <w:t>Predsjednici udruga ravnatelja će poslati svoje prijedloge za izmjene i dopune Zakona o odgoju i obrazovanju u osnovnoj i srednjoj školi.</w:t>
      </w:r>
    </w:p>
    <w:p w:rsidR="009A70A3" w:rsidRPr="00BC70AE" w:rsidRDefault="009A70A3" w:rsidP="009A70A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C70AE">
        <w:rPr>
          <w:rFonts w:ascii="Arial" w:hAnsi="Arial" w:cs="Arial"/>
          <w:bCs/>
          <w:sz w:val="22"/>
          <w:szCs w:val="22"/>
        </w:rPr>
        <w:t>Dogovorena je kontinuirana intenzivna komunikacija i suradnja predstavnika MZO-a s predstavnicima udruga ravnatelja škola.</w:t>
      </w:r>
    </w:p>
    <w:p w:rsidR="009A70A3" w:rsidRPr="00BC70AE" w:rsidRDefault="009A70A3" w:rsidP="009A70A3">
      <w:pPr>
        <w:rPr>
          <w:rFonts w:ascii="Arial" w:hAnsi="Arial" w:cs="Arial"/>
          <w:bCs/>
          <w:sz w:val="22"/>
          <w:szCs w:val="22"/>
        </w:rPr>
      </w:pPr>
    </w:p>
    <w:p w:rsidR="009A70A3" w:rsidRPr="00BC70AE" w:rsidRDefault="009A70A3" w:rsidP="009A70A3">
      <w:pPr>
        <w:rPr>
          <w:rFonts w:ascii="Arial" w:hAnsi="Arial" w:cs="Arial"/>
          <w:sz w:val="22"/>
          <w:szCs w:val="22"/>
        </w:rPr>
      </w:pPr>
      <w:r w:rsidRPr="00BC70AE">
        <w:rPr>
          <w:rFonts w:ascii="Arial" w:hAnsi="Arial" w:cs="Arial"/>
          <w:sz w:val="22"/>
          <w:szCs w:val="22"/>
        </w:rPr>
        <w:t>Sastanak je završio u 1</w:t>
      </w:r>
      <w:r>
        <w:rPr>
          <w:rFonts w:ascii="Arial" w:hAnsi="Arial" w:cs="Arial"/>
          <w:sz w:val="22"/>
          <w:szCs w:val="22"/>
        </w:rPr>
        <w:t>4,3</w:t>
      </w:r>
      <w:r w:rsidRPr="00BC70AE">
        <w:rPr>
          <w:rFonts w:ascii="Arial" w:hAnsi="Arial" w:cs="Arial"/>
          <w:sz w:val="22"/>
          <w:szCs w:val="22"/>
        </w:rPr>
        <w:t>0 sati</w:t>
      </w:r>
    </w:p>
    <w:p w:rsidR="009A70A3" w:rsidRPr="00BC70AE" w:rsidRDefault="009A70A3" w:rsidP="009A70A3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408"/>
        <w:gridCol w:w="1556"/>
        <w:gridCol w:w="969"/>
      </w:tblGrid>
      <w:tr w:rsidR="009A70A3" w:rsidRPr="00BC70AE" w:rsidTr="00937848">
        <w:tc>
          <w:tcPr>
            <w:tcW w:w="31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70A3" w:rsidRPr="00BC70AE" w:rsidRDefault="009A70A3" w:rsidP="00937848">
            <w:pPr>
              <w:rPr>
                <w:rFonts w:ascii="Arial" w:hAnsi="Arial" w:cs="Arial"/>
                <w:sz w:val="22"/>
                <w:szCs w:val="22"/>
              </w:rPr>
            </w:pPr>
            <w:r w:rsidRPr="00BC70AE">
              <w:rPr>
                <w:rFonts w:ascii="Arial" w:hAnsi="Arial" w:cs="Arial"/>
                <w:sz w:val="22"/>
                <w:szCs w:val="22"/>
              </w:rPr>
              <w:t>Bilješku sastavili:</w:t>
            </w:r>
            <w:r>
              <w:rPr>
                <w:rFonts w:ascii="Arial" w:hAnsi="Arial" w:cs="Arial"/>
                <w:sz w:val="22"/>
                <w:szCs w:val="22"/>
              </w:rPr>
              <w:t xml:space="preserve"> Suzana Hitrec i Nikica Mihaljević</w:t>
            </w:r>
          </w:p>
        </w:tc>
        <w:tc>
          <w:tcPr>
            <w:tcW w:w="1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70A3" w:rsidRPr="00BC70AE" w:rsidRDefault="009A70A3" w:rsidP="009378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70A3" w:rsidRPr="00BC70AE" w:rsidRDefault="009A70A3" w:rsidP="009378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0A3" w:rsidRPr="00BC70AE" w:rsidTr="00937848">
        <w:tc>
          <w:tcPr>
            <w:tcW w:w="31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70A3" w:rsidRPr="00BC70AE" w:rsidRDefault="009A70A3" w:rsidP="0093784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70A3" w:rsidRPr="00BC70AE" w:rsidRDefault="009A70A3" w:rsidP="009378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70A3" w:rsidRPr="00BC70AE" w:rsidRDefault="009A70A3" w:rsidP="009378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0A3" w:rsidRPr="008D528E" w:rsidTr="00937848">
        <w:trPr>
          <w:gridBefore w:val="1"/>
          <w:wBefore w:w="704" w:type="dxa"/>
        </w:trPr>
        <w:tc>
          <w:tcPr>
            <w:tcW w:w="24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70A3" w:rsidRPr="008D528E" w:rsidRDefault="009A70A3" w:rsidP="00937848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70A3" w:rsidRPr="008D528E" w:rsidRDefault="009A70A3" w:rsidP="00937848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70A3" w:rsidRPr="008D528E" w:rsidRDefault="009A70A3" w:rsidP="00937848">
            <w:pPr>
              <w:rPr>
                <w:rFonts w:ascii="Arial" w:hAnsi="Arial" w:cs="Arial"/>
              </w:rPr>
            </w:pPr>
          </w:p>
        </w:tc>
      </w:tr>
    </w:tbl>
    <w:p w:rsidR="009A70A3" w:rsidRPr="008D528E" w:rsidRDefault="009A70A3" w:rsidP="009A70A3">
      <w:pPr>
        <w:rPr>
          <w:rFonts w:ascii="Arial" w:hAnsi="Arial" w:cs="Arial"/>
        </w:rPr>
      </w:pPr>
    </w:p>
    <w:p w:rsidR="009A70A3" w:rsidRPr="008D528E" w:rsidRDefault="009A70A3" w:rsidP="009A70A3">
      <w:pPr>
        <w:rPr>
          <w:rFonts w:ascii="Arial" w:hAnsi="Arial" w:cs="Arial"/>
        </w:rPr>
      </w:pPr>
    </w:p>
    <w:p w:rsidR="009A70A3" w:rsidRPr="00F109B1" w:rsidRDefault="009A70A3" w:rsidP="009A70A3">
      <w:pPr>
        <w:jc w:val="both"/>
        <w:rPr>
          <w:rFonts w:ascii="Garamond" w:hAnsi="Garamond"/>
          <w:b/>
          <w:bCs/>
          <w:lang w:val="hr-HR"/>
        </w:rPr>
      </w:pPr>
    </w:p>
    <w:p w:rsidR="009A70A3" w:rsidRPr="00F109B1" w:rsidRDefault="009A70A3" w:rsidP="009A70A3"/>
    <w:p w:rsidR="009E0CFE" w:rsidRDefault="009E0CFE"/>
    <w:sectPr w:rsidR="009E0CFE" w:rsidSect="00F109B1">
      <w:headerReference w:type="default" r:id="rId6"/>
      <w:footerReference w:type="default" r:id="rId7"/>
      <w:pgSz w:w="12240" w:h="15840"/>
      <w:pgMar w:top="1701" w:right="1418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16329"/>
      <w:docPartObj>
        <w:docPartGallery w:val="Page Numbers (Bottom of Page)"/>
        <w:docPartUnique/>
      </w:docPartObj>
    </w:sdtPr>
    <w:sdtEndPr/>
    <w:sdtContent>
      <w:p w:rsidR="0094662D" w:rsidRDefault="009A70A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662D" w:rsidRDefault="009A70A3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D" w:rsidRDefault="009A70A3">
    <w:pPr>
      <w:pStyle w:val="Zaglavlje"/>
    </w:pPr>
    <w:r>
      <w:rPr>
        <w:b/>
        <w:noProof/>
        <w:sz w:val="22"/>
        <w:szCs w:val="22"/>
        <w:lang w:val="hr-HR" w:eastAsia="hr-HR"/>
      </w:rPr>
      <w:drawing>
        <wp:inline distT="0" distB="0" distL="0" distR="0" wp14:anchorId="120D78C9" wp14:editId="29DF76DC">
          <wp:extent cx="2152650" cy="571500"/>
          <wp:effectExtent l="19050" t="0" r="0" b="0"/>
          <wp:docPr id="1" name="Picture 1" descr="C:\Users\RAVNAT~1\AppData\Local\Temp\Rar$DI00.632\hsr_width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VNAT~1\AppData\Local\Temp\Rar$DI00.632\hsr_width-300p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b/>
        <w:noProof/>
        <w:sz w:val="32"/>
        <w:szCs w:val="32"/>
        <w:lang w:val="hr-HR" w:eastAsia="hr-HR"/>
      </w:rPr>
      <w:drawing>
        <wp:inline distT="0" distB="0" distL="0" distR="0" wp14:anchorId="7CDFA677" wp14:editId="2B022D8D">
          <wp:extent cx="1066800" cy="81915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64D89"/>
    <w:multiLevelType w:val="hybridMultilevel"/>
    <w:tmpl w:val="DCA41158"/>
    <w:lvl w:ilvl="0" w:tplc="DC564FC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A3"/>
    <w:rsid w:val="009A70A3"/>
    <w:rsid w:val="009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A4FF0-861D-4A24-A856-85A87E44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A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A70A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70A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A70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70A3"/>
    <w:rPr>
      <w:rFonts w:eastAsiaTheme="minorEastAsia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A70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70A3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1</cp:revision>
  <dcterms:created xsi:type="dcterms:W3CDTF">2017-12-01T08:21:00Z</dcterms:created>
  <dcterms:modified xsi:type="dcterms:W3CDTF">2017-12-01T08:21:00Z</dcterms:modified>
</cp:coreProperties>
</file>